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17AE7" w:rsidRDefault="00C56FD6" w:rsidP="00C56FD6">
      <w:pPr>
        <w:pStyle w:val="a5"/>
        <w:widowControl w:val="0"/>
        <w:rPr>
          <w:sz w:val="24"/>
          <w:szCs w:val="24"/>
        </w:rPr>
      </w:pPr>
      <w:r w:rsidRPr="00517AE7">
        <w:rPr>
          <w:sz w:val="24"/>
          <w:szCs w:val="24"/>
        </w:rPr>
        <w:t>ПОЯСНИТЕЛЬНАЯ ЗАПИСКА</w:t>
      </w:r>
    </w:p>
    <w:p w:rsidR="00C56FD6" w:rsidRPr="00517AE7" w:rsidRDefault="00C56FD6" w:rsidP="00AA30F1">
      <w:pPr>
        <w:widowControl w:val="0"/>
        <w:jc w:val="center"/>
        <w:rPr>
          <w:b/>
          <w:sz w:val="24"/>
          <w:szCs w:val="24"/>
        </w:rPr>
      </w:pPr>
      <w:r w:rsidRPr="00517AE7">
        <w:rPr>
          <w:b/>
          <w:sz w:val="24"/>
          <w:szCs w:val="24"/>
        </w:rPr>
        <w:t xml:space="preserve">к проекту </w:t>
      </w:r>
      <w:r w:rsidR="003229FA" w:rsidRPr="00517AE7">
        <w:rPr>
          <w:b/>
          <w:sz w:val="24"/>
          <w:szCs w:val="24"/>
        </w:rPr>
        <w:t>СТ РК</w:t>
      </w:r>
      <w:r w:rsidR="00D12D05" w:rsidRPr="00517AE7">
        <w:rPr>
          <w:b/>
          <w:sz w:val="24"/>
          <w:szCs w:val="24"/>
        </w:rPr>
        <w:t xml:space="preserve"> </w:t>
      </w:r>
      <w:r w:rsidR="00AA30F1" w:rsidRPr="00517AE7">
        <w:rPr>
          <w:b/>
          <w:sz w:val="24"/>
          <w:szCs w:val="24"/>
          <w:lang w:val="en-US"/>
        </w:rPr>
        <w:t>EN</w:t>
      </w:r>
      <w:r w:rsidR="00AA30F1" w:rsidRPr="00517AE7">
        <w:rPr>
          <w:b/>
          <w:sz w:val="24"/>
          <w:szCs w:val="24"/>
        </w:rPr>
        <w:t xml:space="preserve"> </w:t>
      </w:r>
      <w:r w:rsidR="00E953CF" w:rsidRPr="00517AE7">
        <w:rPr>
          <w:b/>
          <w:sz w:val="24"/>
          <w:szCs w:val="24"/>
        </w:rPr>
        <w:t>16502</w:t>
      </w:r>
      <w:r w:rsidR="0034654A">
        <w:rPr>
          <w:b/>
          <w:sz w:val="24"/>
          <w:szCs w:val="24"/>
          <w:lang w:val="kk-KZ"/>
        </w:rPr>
        <w:t xml:space="preserve"> </w:t>
      </w:r>
      <w:r w:rsidRPr="00517AE7">
        <w:rPr>
          <w:b/>
          <w:sz w:val="24"/>
          <w:szCs w:val="24"/>
        </w:rPr>
        <w:t>«</w:t>
      </w:r>
      <w:r w:rsidR="00E953CF" w:rsidRPr="00517AE7">
        <w:rPr>
          <w:b/>
          <w:sz w:val="24"/>
          <w:szCs w:val="24"/>
        </w:rPr>
        <w:t>Определение степени кислотности почвы методом Баумана-Галли</w:t>
      </w:r>
      <w:r w:rsidRPr="00517AE7">
        <w:rPr>
          <w:b/>
          <w:sz w:val="24"/>
          <w:szCs w:val="24"/>
        </w:rPr>
        <w:t>»</w:t>
      </w:r>
    </w:p>
    <w:p w:rsidR="00C56FD6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517AE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17AE7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517AE7">
        <w:rPr>
          <w:sz w:val="24"/>
          <w:szCs w:val="24"/>
        </w:rPr>
        <w:t xml:space="preserve"> </w:t>
      </w: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2A5007" w:rsidRPr="00517AE7" w:rsidRDefault="002A5007" w:rsidP="002A5007">
      <w:pPr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В целях обеспечения и выполнения требований технического регламента Республики Казахстан «Требования к безопасности зданий и сооружений, строительных материалов и изделий»  (от 17 ноября 2010 года № 1202) необходима разработка настоящего стандарта.</w:t>
      </w:r>
    </w:p>
    <w:p w:rsidR="00AA30F1" w:rsidRPr="00517AE7" w:rsidRDefault="002A5007" w:rsidP="00AA30F1">
      <w:pPr>
        <w:pStyle w:val="1"/>
        <w:shd w:val="clear" w:color="auto" w:fill="auto"/>
        <w:spacing w:before="0"/>
        <w:ind w:left="20" w:right="20"/>
        <w:rPr>
          <w:sz w:val="24"/>
          <w:szCs w:val="24"/>
        </w:rPr>
      </w:pPr>
      <w:r w:rsidRPr="00517AE7">
        <w:rPr>
          <w:sz w:val="24"/>
          <w:szCs w:val="24"/>
        </w:rPr>
        <w:t>Кроме того, в</w:t>
      </w:r>
      <w:r w:rsidR="00AA30F1" w:rsidRPr="00517AE7">
        <w:rPr>
          <w:sz w:val="24"/>
          <w:szCs w:val="24"/>
        </w:rPr>
        <w:t xml:space="preserve"> строительной отрасли Республики Казахстан введены в действие СП РК EN, идентичные Еврокодам. </w:t>
      </w:r>
      <w:r w:rsidR="00AA30F1" w:rsidRPr="00517AE7">
        <w:rPr>
          <w:color w:val="000000"/>
          <w:sz w:val="24"/>
          <w:szCs w:val="24"/>
          <w:lang w:eastAsia="ru-RU" w:bidi="ru-RU"/>
        </w:rPr>
        <w:t xml:space="preserve">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</w:t>
      </w:r>
      <w:r w:rsidR="00AA30F1" w:rsidRPr="00517AE7">
        <w:rPr>
          <w:color w:val="000000"/>
          <w:sz w:val="24"/>
          <w:szCs w:val="24"/>
          <w:lang w:val="en-US" w:bidi="en-US"/>
        </w:rPr>
        <w:t>EN</w:t>
      </w:r>
      <w:r w:rsidR="00AA30F1" w:rsidRPr="00517AE7">
        <w:rPr>
          <w:color w:val="000000"/>
          <w:sz w:val="24"/>
          <w:szCs w:val="24"/>
          <w:lang w:bidi="en-US"/>
        </w:rPr>
        <w:t xml:space="preserve">, </w:t>
      </w:r>
      <w:r w:rsidR="00AA30F1" w:rsidRPr="00517AE7">
        <w:rPr>
          <w:color w:val="000000"/>
          <w:sz w:val="24"/>
          <w:szCs w:val="24"/>
          <w:lang w:eastAsia="ru-RU" w:bidi="ru-RU"/>
        </w:rPr>
        <w:t xml:space="preserve">СТ РК </w:t>
      </w:r>
      <w:r w:rsidR="00AA30F1" w:rsidRPr="00517AE7">
        <w:rPr>
          <w:color w:val="000000"/>
          <w:sz w:val="24"/>
          <w:szCs w:val="24"/>
          <w:lang w:val="en-US" w:bidi="en-US"/>
        </w:rPr>
        <w:t>ISO</w:t>
      </w:r>
      <w:r w:rsidR="00AA30F1" w:rsidRPr="00517AE7">
        <w:rPr>
          <w:color w:val="000000"/>
          <w:sz w:val="24"/>
          <w:szCs w:val="24"/>
          <w:lang w:bidi="en-US"/>
        </w:rPr>
        <w:t xml:space="preserve">), </w:t>
      </w:r>
      <w:r w:rsidR="00AA30F1" w:rsidRPr="00517AE7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="00AA30F1" w:rsidRPr="00517AE7">
        <w:rPr>
          <w:color w:val="000000"/>
          <w:sz w:val="24"/>
          <w:szCs w:val="24"/>
          <w:lang w:bidi="en-US"/>
        </w:rPr>
        <w:t>(</w:t>
      </w:r>
      <w:r w:rsidR="00AA30F1" w:rsidRPr="00517AE7">
        <w:rPr>
          <w:color w:val="000000"/>
          <w:sz w:val="24"/>
          <w:szCs w:val="24"/>
          <w:lang w:val="en-US" w:bidi="en-US"/>
        </w:rPr>
        <w:t>EN</w:t>
      </w:r>
      <w:r w:rsidR="00AA30F1" w:rsidRPr="00517AE7">
        <w:rPr>
          <w:color w:val="000000"/>
          <w:sz w:val="24"/>
          <w:szCs w:val="24"/>
          <w:lang w:bidi="en-US"/>
        </w:rPr>
        <w:t xml:space="preserve">) </w:t>
      </w:r>
      <w:r w:rsidR="00AA30F1" w:rsidRPr="00517AE7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="00AA30F1" w:rsidRPr="00517AE7">
        <w:rPr>
          <w:color w:val="000000"/>
          <w:sz w:val="24"/>
          <w:szCs w:val="24"/>
          <w:lang w:bidi="en-US"/>
        </w:rPr>
        <w:t>(</w:t>
      </w:r>
      <w:r w:rsidR="00AA30F1" w:rsidRPr="00517AE7">
        <w:rPr>
          <w:color w:val="000000"/>
          <w:sz w:val="24"/>
          <w:szCs w:val="24"/>
          <w:lang w:val="en-US" w:bidi="en-US"/>
        </w:rPr>
        <w:t>ISO</w:t>
      </w:r>
      <w:r w:rsidR="00AA30F1" w:rsidRPr="00517AE7">
        <w:rPr>
          <w:color w:val="000000"/>
          <w:sz w:val="24"/>
          <w:szCs w:val="24"/>
          <w:lang w:bidi="en-US"/>
        </w:rPr>
        <w:t xml:space="preserve">) </w:t>
      </w:r>
      <w:r w:rsidR="00AA30F1" w:rsidRPr="00517AE7">
        <w:rPr>
          <w:color w:val="000000"/>
          <w:sz w:val="24"/>
          <w:szCs w:val="24"/>
          <w:lang w:eastAsia="ru-RU" w:bidi="ru-RU"/>
        </w:rPr>
        <w:t>стандартами.</w:t>
      </w:r>
    </w:p>
    <w:p w:rsidR="00AA30F1" w:rsidRPr="00517AE7" w:rsidRDefault="00AA30F1" w:rsidP="00AA30F1">
      <w:pPr>
        <w:pStyle w:val="1"/>
        <w:shd w:val="clear" w:color="auto" w:fill="auto"/>
        <w:spacing w:before="0"/>
        <w:ind w:left="20" w:right="20"/>
        <w:rPr>
          <w:color w:val="000000"/>
          <w:sz w:val="24"/>
          <w:szCs w:val="24"/>
          <w:lang w:eastAsia="ru-RU" w:bidi="ru-RU"/>
        </w:rPr>
      </w:pPr>
      <w:r w:rsidRPr="00517AE7">
        <w:rPr>
          <w:color w:val="000000"/>
          <w:sz w:val="24"/>
          <w:szCs w:val="24"/>
          <w:lang w:eastAsia="ru-RU" w:bidi="ru-RU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E953CF" w:rsidRPr="00517AE7" w:rsidRDefault="00E953CF" w:rsidP="002A5007">
      <w:pPr>
        <w:ind w:firstLine="567"/>
        <w:jc w:val="both"/>
        <w:rPr>
          <w:sz w:val="24"/>
          <w:szCs w:val="24"/>
          <w:lang w:bidi="ru-RU"/>
        </w:rPr>
      </w:pPr>
      <w:r w:rsidRPr="00517AE7">
        <w:rPr>
          <w:sz w:val="24"/>
          <w:szCs w:val="24"/>
          <w:lang w:bidi="ru-RU"/>
        </w:rPr>
        <w:t xml:space="preserve">Одним из факторов агрессивного воздействия на бетон и изделия из него может быть почва (грунт) или вода с химическими загрязнениями. </w:t>
      </w:r>
      <w:r w:rsidR="002A5007" w:rsidRPr="00517AE7">
        <w:rPr>
          <w:rFonts w:ascii="Book" w:hAnsi="Book"/>
          <w:color w:val="000000"/>
          <w:sz w:val="24"/>
          <w:szCs w:val="24"/>
        </w:rPr>
        <w:t>Кислотность определяется как pH (водородный показатель), т.е. это объем ионов водорода в грунте. Так, если он равен 7, то почва нейтральная, ниже – кислая</w:t>
      </w:r>
      <w:hyperlink r:id="rId6" w:history="1">
        <w:r w:rsidR="002A5007" w:rsidRPr="00517AE7">
          <w:rPr>
            <w:rStyle w:val="hdn-link"/>
            <w:rFonts w:ascii="Book" w:hAnsi="Book"/>
            <w:color w:val="0000FF"/>
            <w:sz w:val="24"/>
            <w:szCs w:val="24"/>
            <w:u w:val="single"/>
          </w:rPr>
          <w:t>,</w:t>
        </w:r>
      </w:hyperlink>
      <w:r w:rsidR="002A5007" w:rsidRPr="00517AE7">
        <w:rPr>
          <w:rFonts w:ascii="Book" w:hAnsi="Book"/>
          <w:color w:val="000000"/>
          <w:sz w:val="24"/>
          <w:szCs w:val="24"/>
        </w:rPr>
        <w:t> а выше – щелочная.</w:t>
      </w:r>
      <w:r w:rsidR="002A5007" w:rsidRPr="00517AE7">
        <w:rPr>
          <w:color w:val="000000"/>
          <w:sz w:val="24"/>
          <w:szCs w:val="24"/>
          <w:shd w:val="clear" w:color="auto" w:fill="FFFFFF"/>
        </w:rPr>
        <w:t xml:space="preserve">). </w:t>
      </w:r>
      <w:r w:rsidRPr="00517AE7">
        <w:rPr>
          <w:sz w:val="24"/>
          <w:szCs w:val="24"/>
          <w:lang w:bidi="ru-RU"/>
        </w:rPr>
        <w:t xml:space="preserve">Определение кислотности почвы позволит оценить ее агрессивное воздействие на бетонные и железобетонные изделия, определить класс агрессивности. </w:t>
      </w:r>
    </w:p>
    <w:p w:rsidR="00E953CF" w:rsidRPr="00517AE7" w:rsidRDefault="00E953CF" w:rsidP="00E953CF">
      <w:pPr>
        <w:ind w:firstLine="567"/>
        <w:jc w:val="both"/>
        <w:rPr>
          <w:sz w:val="24"/>
          <w:szCs w:val="24"/>
          <w:lang w:bidi="ru-RU"/>
        </w:rPr>
      </w:pPr>
      <w:r w:rsidRPr="00517AE7">
        <w:rPr>
          <w:sz w:val="24"/>
          <w:szCs w:val="24"/>
          <w:lang w:bidi="ru-RU"/>
        </w:rPr>
        <w:t>В Республике Казахстан действу</w:t>
      </w:r>
      <w:r w:rsidR="00643868" w:rsidRPr="00517AE7">
        <w:rPr>
          <w:sz w:val="24"/>
          <w:szCs w:val="24"/>
          <w:lang w:bidi="ru-RU"/>
        </w:rPr>
        <w:t>ю</w:t>
      </w:r>
      <w:r w:rsidRPr="00517AE7">
        <w:rPr>
          <w:sz w:val="24"/>
          <w:szCs w:val="24"/>
          <w:lang w:bidi="ru-RU"/>
        </w:rPr>
        <w:t xml:space="preserve">т </w:t>
      </w:r>
      <w:r w:rsidR="003A1A85" w:rsidRPr="00517AE7">
        <w:rPr>
          <w:rFonts w:eastAsiaTheme="minorHAnsi"/>
          <w:sz w:val="24"/>
          <w:szCs w:val="24"/>
          <w:lang w:eastAsia="en-US"/>
        </w:rPr>
        <w:t>СТ РК 2.624-2019 Методика выполнения измерений массовой доли кислоторастворимых форм металлов (меди, свинца, цинка, никеля, кадмия) в пробах почвы атомно-абсорбционным анализом,</w:t>
      </w:r>
      <w:r w:rsidR="003A1A85" w:rsidRPr="00517AE7">
        <w:rPr>
          <w:sz w:val="24"/>
          <w:szCs w:val="24"/>
        </w:rPr>
        <w:t xml:space="preserve"> </w:t>
      </w:r>
      <w:r w:rsidR="00643868" w:rsidRPr="00517AE7">
        <w:rPr>
          <w:sz w:val="24"/>
          <w:szCs w:val="24"/>
        </w:rPr>
        <w:t>ГОСТ 26212-2021 Почвы. Определение гидролитической кислотности по методу Каппена в модификации ЦИНАО,</w:t>
      </w:r>
      <w:r w:rsidR="00643868" w:rsidRPr="00517AE7">
        <w:rPr>
          <w:rStyle w:val="s1"/>
          <w:bCs/>
          <w:sz w:val="24"/>
          <w:szCs w:val="24"/>
        </w:rPr>
        <w:t xml:space="preserve"> </w:t>
      </w:r>
      <w:r w:rsidRPr="00517AE7">
        <w:rPr>
          <w:rStyle w:val="s1"/>
          <w:bCs/>
          <w:sz w:val="24"/>
          <w:szCs w:val="24"/>
        </w:rPr>
        <w:t>ГОСТ 26484-85 Почвы. Метод определения обменной кислотности</w:t>
      </w:r>
      <w:r w:rsidR="003A1A85" w:rsidRPr="00517AE7">
        <w:rPr>
          <w:rStyle w:val="s1"/>
          <w:bCs/>
          <w:sz w:val="24"/>
          <w:szCs w:val="24"/>
        </w:rPr>
        <w:t xml:space="preserve"> и т.д.</w:t>
      </w:r>
      <w:r w:rsidRPr="00517AE7">
        <w:rPr>
          <w:rStyle w:val="s1"/>
          <w:bCs/>
          <w:sz w:val="24"/>
          <w:szCs w:val="24"/>
        </w:rPr>
        <w:t xml:space="preserve">, но </w:t>
      </w:r>
      <w:r w:rsidRPr="00517AE7">
        <w:rPr>
          <w:sz w:val="24"/>
          <w:szCs w:val="24"/>
          <w:lang w:bidi="ru-RU"/>
        </w:rPr>
        <w:t xml:space="preserve">отсутствуют стандарты по </w:t>
      </w:r>
      <w:r w:rsidRPr="00517AE7">
        <w:rPr>
          <w:sz w:val="24"/>
          <w:szCs w:val="24"/>
        </w:rPr>
        <w:t>определению степени кислотности почвы в соответствии с методом Баумана-Галли.</w:t>
      </w:r>
    </w:p>
    <w:p w:rsidR="00E953CF" w:rsidRPr="00517AE7" w:rsidRDefault="00E953CF" w:rsidP="00E953CF">
      <w:pPr>
        <w:pStyle w:val="2"/>
        <w:keepNext w:val="0"/>
        <w:widowControl w:val="0"/>
        <w:shd w:val="clear" w:color="auto" w:fill="FFFFFF"/>
        <w:ind w:left="0" w:firstLine="567"/>
        <w:rPr>
          <w:rFonts w:cs="Arial"/>
          <w:b w:val="0"/>
          <w:bCs/>
          <w:sz w:val="24"/>
          <w:szCs w:val="24"/>
          <w:lang w:val="ru-RU"/>
        </w:rPr>
      </w:pPr>
      <w:r w:rsidRPr="00517AE7">
        <w:rPr>
          <w:b w:val="0"/>
          <w:bCs/>
          <w:color w:val="000000"/>
          <w:sz w:val="24"/>
          <w:szCs w:val="24"/>
        </w:rPr>
        <w:t>Обоснованность разработки стандарта, гармонизируемого с европейским стандартом</w:t>
      </w:r>
      <w:r w:rsidRPr="00517AE7">
        <w:rPr>
          <w:bCs/>
          <w:color w:val="000000"/>
          <w:sz w:val="24"/>
          <w:szCs w:val="24"/>
        </w:rPr>
        <w:t xml:space="preserve"> </w:t>
      </w:r>
      <w:r w:rsidRPr="00517AE7">
        <w:rPr>
          <w:b w:val="0"/>
          <w:sz w:val="24"/>
          <w:szCs w:val="24"/>
          <w:lang w:val="en-US"/>
        </w:rPr>
        <w:t>EN</w:t>
      </w:r>
      <w:r w:rsidRPr="00517AE7">
        <w:rPr>
          <w:b w:val="0"/>
          <w:sz w:val="24"/>
          <w:szCs w:val="24"/>
          <w:lang w:val="ru-RU"/>
        </w:rPr>
        <w:t xml:space="preserve"> 16502-2014 «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Test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method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for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the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determination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of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the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degree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of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soil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acidity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according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to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Baumann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>-</w:t>
      </w:r>
      <w:r w:rsidRPr="00517AE7">
        <w:rPr>
          <w:rFonts w:ascii="opensans" w:hAnsi="opensans"/>
          <w:b w:val="0"/>
          <w:bCs/>
          <w:sz w:val="24"/>
          <w:szCs w:val="24"/>
          <w:lang w:val="en-US"/>
        </w:rPr>
        <w:t>Gully</w:t>
      </w:r>
      <w:r w:rsidRPr="00517AE7">
        <w:rPr>
          <w:rFonts w:ascii="opensans" w:hAnsi="opensans"/>
          <w:b w:val="0"/>
          <w:bCs/>
          <w:sz w:val="24"/>
          <w:szCs w:val="24"/>
          <w:lang w:val="ru-RU"/>
        </w:rPr>
        <w:t>»</w:t>
      </w:r>
      <w:r w:rsidRPr="00517AE7">
        <w:rPr>
          <w:bCs/>
          <w:color w:val="000000"/>
          <w:sz w:val="24"/>
          <w:szCs w:val="24"/>
        </w:rPr>
        <w:t xml:space="preserve">, </w:t>
      </w:r>
      <w:r w:rsidRPr="00517AE7">
        <w:rPr>
          <w:b w:val="0"/>
          <w:bCs/>
          <w:color w:val="000000"/>
          <w:sz w:val="24"/>
          <w:szCs w:val="24"/>
        </w:rPr>
        <w:t xml:space="preserve">обусловлена необходимостью </w:t>
      </w:r>
      <w:r w:rsidRPr="00517AE7">
        <w:rPr>
          <w:b w:val="0"/>
          <w:bCs/>
          <w:sz w:val="24"/>
          <w:szCs w:val="24"/>
        </w:rPr>
        <w:t xml:space="preserve">установления требований к испытаниям по определению кислотности почвы как фактора </w:t>
      </w:r>
      <w:r w:rsidRPr="00517AE7">
        <w:rPr>
          <w:b w:val="0"/>
          <w:bCs/>
          <w:sz w:val="24"/>
          <w:szCs w:val="24"/>
          <w:lang w:val="ru-RU"/>
        </w:rPr>
        <w:t xml:space="preserve">агрессивного </w:t>
      </w:r>
      <w:r w:rsidRPr="00517AE7">
        <w:rPr>
          <w:b w:val="0"/>
          <w:bCs/>
          <w:sz w:val="24"/>
          <w:szCs w:val="24"/>
        </w:rPr>
        <w:t>воздействия на бетонные и железобетонные изделия, предназначенных для применения в строительстве гражданских и промышленных объектов.</w:t>
      </w:r>
      <w:r w:rsidRPr="00517AE7">
        <w:rPr>
          <w:rFonts w:cs="Arial"/>
          <w:b w:val="0"/>
          <w:bCs/>
          <w:sz w:val="24"/>
          <w:szCs w:val="24"/>
        </w:rPr>
        <w:t xml:space="preserve"> </w:t>
      </w:r>
    </w:p>
    <w:p w:rsidR="00E953CF" w:rsidRPr="00517AE7" w:rsidRDefault="00E953CF" w:rsidP="00E953CF">
      <w:pPr>
        <w:ind w:firstLine="567"/>
        <w:jc w:val="both"/>
        <w:rPr>
          <w:bCs/>
          <w:sz w:val="24"/>
          <w:szCs w:val="24"/>
        </w:rPr>
      </w:pPr>
      <w:r w:rsidRPr="00517AE7">
        <w:rPr>
          <w:sz w:val="24"/>
          <w:szCs w:val="24"/>
        </w:rPr>
        <w:t xml:space="preserve">Разработка </w:t>
      </w:r>
      <w:r w:rsidRPr="00517AE7">
        <w:rPr>
          <w:bCs/>
          <w:sz w:val="24"/>
          <w:szCs w:val="24"/>
        </w:rPr>
        <w:t xml:space="preserve">национального стандарта </w:t>
      </w:r>
      <w:r w:rsidRPr="00517AE7">
        <w:rPr>
          <w:sz w:val="24"/>
          <w:szCs w:val="24"/>
        </w:rPr>
        <w:t>СТ РК EN 16502, являющегося ссылочным стандартом СТ РК EN 206-2017 (СП РК EN 1992-1-1), позволит пользоваться современными техническими требованиями и  методами испытаний, что обеспечит признание результатов их оценки соответствия, повысит уровень проектирования</w:t>
      </w:r>
      <w:r w:rsidRPr="00517AE7">
        <w:rPr>
          <w:bCs/>
          <w:sz w:val="24"/>
          <w:szCs w:val="24"/>
        </w:rPr>
        <w:t xml:space="preserve"> и строительства зданий, обеспечит их эксплуатационную пригодность и долговечность, выполнение требований безопасности.</w:t>
      </w: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17AE7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517AE7">
        <w:rPr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517AE7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Default="00521858" w:rsidP="002A5007">
      <w:pPr>
        <w:widowControl w:val="0"/>
        <w:ind w:firstLine="567"/>
        <w:jc w:val="both"/>
        <w:rPr>
          <w:rFonts w:eastAsia="SimSun"/>
          <w:sz w:val="24"/>
          <w:szCs w:val="24"/>
          <w:lang w:val="kk-KZ"/>
        </w:rPr>
      </w:pPr>
      <w:r w:rsidRPr="00517AE7">
        <w:rPr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517AE7">
        <w:rPr>
          <w:rFonts w:eastAsia="SimSun"/>
          <w:sz w:val="24"/>
          <w:szCs w:val="24"/>
        </w:rPr>
        <w:t>Национальный план стандартизации на 202</w:t>
      </w:r>
      <w:r w:rsidR="00AA30F1" w:rsidRPr="00517AE7">
        <w:rPr>
          <w:rFonts w:eastAsia="SimSun"/>
          <w:sz w:val="24"/>
          <w:szCs w:val="24"/>
        </w:rPr>
        <w:t>3</w:t>
      </w:r>
      <w:r w:rsidRPr="00517AE7">
        <w:rPr>
          <w:rFonts w:eastAsia="SimSun"/>
          <w:sz w:val="24"/>
          <w:szCs w:val="24"/>
        </w:rPr>
        <w:t xml:space="preserve"> год </w:t>
      </w:r>
      <w:bookmarkEnd w:id="0"/>
      <w:r w:rsidR="00E243EB" w:rsidRPr="00517AE7">
        <w:rPr>
          <w:rFonts w:eastAsia="SimSun"/>
          <w:sz w:val="24"/>
          <w:szCs w:val="24"/>
        </w:rPr>
        <w:t>(</w:t>
      </w:r>
      <w:r w:rsidR="00E243EB" w:rsidRPr="00517AE7">
        <w:rPr>
          <w:sz w:val="24"/>
          <w:szCs w:val="24"/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E243EB" w:rsidRPr="00517AE7">
        <w:rPr>
          <w:sz w:val="24"/>
          <w:szCs w:val="24"/>
          <w:shd w:val="clear" w:color="auto" w:fill="FFFFFF"/>
        </w:rPr>
        <w:br/>
        <w:t>№ 433-НҚ (с учетом изменений, приказ № 16-НҚ от 10.02.2023))</w:t>
      </w:r>
      <w:r w:rsidR="00E243EB" w:rsidRPr="00517AE7">
        <w:rPr>
          <w:rFonts w:eastAsia="SimSun"/>
          <w:sz w:val="24"/>
          <w:szCs w:val="24"/>
          <w:lang w:val="kk-KZ"/>
        </w:rPr>
        <w:t>.</w:t>
      </w:r>
    </w:p>
    <w:p w:rsidR="0034654A" w:rsidRPr="00517AE7" w:rsidRDefault="0034654A" w:rsidP="002A5007">
      <w:pPr>
        <w:widowControl w:val="0"/>
        <w:ind w:firstLine="567"/>
        <w:jc w:val="both"/>
        <w:rPr>
          <w:sz w:val="24"/>
          <w:szCs w:val="24"/>
          <w:lang w:val="kk-KZ"/>
        </w:rPr>
      </w:pPr>
    </w:p>
    <w:p w:rsidR="00C56FD6" w:rsidRPr="00517AE7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517AE7">
        <w:rPr>
          <w:sz w:val="24"/>
          <w:szCs w:val="24"/>
        </w:rPr>
        <w:t>3 Характеристика объекта стандартизации</w:t>
      </w:r>
    </w:p>
    <w:p w:rsidR="00C56FD6" w:rsidRPr="00517AE7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E953CF" w:rsidRPr="00517AE7" w:rsidRDefault="00DE1D34" w:rsidP="00E243EB">
      <w:pPr>
        <w:widowControl w:val="0"/>
        <w:ind w:firstLine="567"/>
        <w:jc w:val="both"/>
        <w:rPr>
          <w:sz w:val="24"/>
          <w:szCs w:val="24"/>
        </w:rPr>
      </w:pPr>
      <w:r w:rsidRPr="00517AE7">
        <w:rPr>
          <w:rFonts w:eastAsia="@Arial Unicode MS"/>
          <w:sz w:val="24"/>
          <w:szCs w:val="24"/>
        </w:rPr>
        <w:t xml:space="preserve">Настоящий стандарт </w:t>
      </w:r>
      <w:r w:rsidRPr="00517AE7">
        <w:rPr>
          <w:sz w:val="24"/>
          <w:szCs w:val="24"/>
        </w:rPr>
        <w:t xml:space="preserve">устанавливает </w:t>
      </w:r>
      <w:r w:rsidR="00E953CF" w:rsidRPr="00517AE7">
        <w:rPr>
          <w:sz w:val="24"/>
          <w:szCs w:val="24"/>
        </w:rPr>
        <w:t xml:space="preserve">процедуру определения степени кислотности почвы, </w:t>
      </w:r>
      <w:r w:rsidR="00293E85" w:rsidRPr="00517AE7">
        <w:rPr>
          <w:sz w:val="24"/>
          <w:szCs w:val="24"/>
        </w:rPr>
        <w:t xml:space="preserve">которая должна использоваться для оценки класса </w:t>
      </w:r>
      <w:r w:rsidR="00E243EB" w:rsidRPr="00517AE7">
        <w:rPr>
          <w:sz w:val="24"/>
          <w:szCs w:val="24"/>
        </w:rPr>
        <w:t xml:space="preserve">ее </w:t>
      </w:r>
      <w:r w:rsidR="00293E85" w:rsidRPr="00517AE7">
        <w:rPr>
          <w:sz w:val="24"/>
          <w:szCs w:val="24"/>
        </w:rPr>
        <w:t xml:space="preserve">агрессивности </w:t>
      </w:r>
      <w:r w:rsidR="00E953CF" w:rsidRPr="00517AE7">
        <w:rPr>
          <w:sz w:val="24"/>
          <w:szCs w:val="24"/>
        </w:rPr>
        <w:t xml:space="preserve">по EN 206. </w:t>
      </w:r>
    </w:p>
    <w:p w:rsidR="00293E85" w:rsidRPr="00517AE7" w:rsidRDefault="00293E85" w:rsidP="00E243EB">
      <w:pPr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Степень кислотности по Бауману-Галли является результатом определения обменной концентрации ионов водорода, которую выделяют гумусовые частицы почвы.</w:t>
      </w:r>
    </w:p>
    <w:p w:rsidR="00293E85" w:rsidRPr="00517AE7" w:rsidRDefault="00293E85" w:rsidP="00293E85">
      <w:pPr>
        <w:spacing w:line="276" w:lineRule="auto"/>
        <w:ind w:firstLine="567"/>
        <w:jc w:val="both"/>
        <w:rPr>
          <w:sz w:val="24"/>
          <w:szCs w:val="24"/>
        </w:rPr>
      </w:pPr>
    </w:p>
    <w:p w:rsidR="00C56FD6" w:rsidRPr="00517AE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17AE7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17AE7" w:rsidRDefault="00C56FD6" w:rsidP="00E243EB">
      <w:pPr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17AE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17AE7">
        <w:rPr>
          <w:sz w:val="24"/>
          <w:szCs w:val="24"/>
        </w:rPr>
        <w:t xml:space="preserve">№ 1202. </w:t>
      </w:r>
    </w:p>
    <w:p w:rsidR="00C56FD6" w:rsidRPr="00517AE7" w:rsidRDefault="00C56FD6" w:rsidP="00E243EB">
      <w:pPr>
        <w:widowControl w:val="0"/>
        <w:shd w:val="clear" w:color="auto" w:fill="FFFFFF"/>
        <w:ind w:firstLine="567"/>
        <w:jc w:val="both"/>
        <w:rPr>
          <w:bCs/>
          <w:sz w:val="24"/>
          <w:szCs w:val="24"/>
        </w:rPr>
      </w:pPr>
      <w:r w:rsidRPr="00517AE7">
        <w:rPr>
          <w:bCs/>
          <w:sz w:val="24"/>
          <w:szCs w:val="24"/>
        </w:rPr>
        <w:t>Настоящий стандарт взаимосвязан со следующим</w:t>
      </w:r>
      <w:r w:rsidR="0094552A" w:rsidRPr="00517AE7">
        <w:rPr>
          <w:bCs/>
          <w:sz w:val="24"/>
          <w:szCs w:val="24"/>
        </w:rPr>
        <w:t>и</w:t>
      </w:r>
      <w:r w:rsidRPr="00517AE7">
        <w:rPr>
          <w:bCs/>
          <w:sz w:val="24"/>
          <w:szCs w:val="24"/>
        </w:rPr>
        <w:t xml:space="preserve"> действующим</w:t>
      </w:r>
      <w:r w:rsidR="0094552A" w:rsidRPr="00517AE7">
        <w:rPr>
          <w:bCs/>
          <w:sz w:val="24"/>
          <w:szCs w:val="24"/>
        </w:rPr>
        <w:t>и</w:t>
      </w:r>
      <w:r w:rsidRPr="00517AE7">
        <w:rPr>
          <w:bCs/>
          <w:sz w:val="24"/>
          <w:szCs w:val="24"/>
        </w:rPr>
        <w:t xml:space="preserve"> </w:t>
      </w:r>
      <w:r w:rsidR="00643868" w:rsidRPr="00517AE7">
        <w:rPr>
          <w:bCs/>
          <w:sz w:val="24"/>
          <w:szCs w:val="24"/>
        </w:rPr>
        <w:t>документами по</w:t>
      </w:r>
      <w:r w:rsidRPr="00517AE7">
        <w:rPr>
          <w:bCs/>
          <w:sz w:val="24"/>
          <w:szCs w:val="24"/>
        </w:rPr>
        <w:t xml:space="preserve"> стандарт</w:t>
      </w:r>
      <w:r w:rsidR="00E243EB" w:rsidRPr="00517AE7">
        <w:rPr>
          <w:bCs/>
          <w:sz w:val="24"/>
          <w:szCs w:val="24"/>
        </w:rPr>
        <w:t>изаци</w:t>
      </w:r>
      <w:r w:rsidR="0094552A" w:rsidRPr="00517AE7">
        <w:rPr>
          <w:bCs/>
          <w:sz w:val="24"/>
          <w:szCs w:val="24"/>
        </w:rPr>
        <w:t>и</w:t>
      </w:r>
      <w:r w:rsidRPr="00517AE7">
        <w:rPr>
          <w:bCs/>
          <w:sz w:val="24"/>
          <w:szCs w:val="24"/>
        </w:rPr>
        <w:t>:</w:t>
      </w:r>
    </w:p>
    <w:p w:rsidR="00643868" w:rsidRPr="00517AE7" w:rsidRDefault="00643868" w:rsidP="00E243EB">
      <w:pPr>
        <w:pStyle w:val="pj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lang w:eastAsia="en-US"/>
        </w:rPr>
      </w:pPr>
      <w:r w:rsidRPr="00517AE7">
        <w:rPr>
          <w:rFonts w:eastAsiaTheme="minorHAnsi"/>
          <w:lang w:eastAsia="en-US"/>
        </w:rPr>
        <w:t>СТ РК 2.377-2015 Методика выполнения измерений массовой доли ванадия, кадмия, кобальта, марганца, меди, мышьяка, никеля, ртути, свинца, хрома и цинка в пробах почв, грунтов и донных отложений методом атомно-абсорбционной спектроскопии;</w:t>
      </w:r>
    </w:p>
    <w:p w:rsidR="00643868" w:rsidRPr="00517AE7" w:rsidRDefault="00643868" w:rsidP="00E243EB">
      <w:pPr>
        <w:pStyle w:val="pj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lang w:eastAsia="en-US"/>
        </w:rPr>
      </w:pPr>
      <w:r w:rsidRPr="00517AE7">
        <w:rPr>
          <w:rFonts w:eastAsiaTheme="minorHAnsi"/>
          <w:lang w:eastAsia="en-US"/>
        </w:rPr>
        <w:t>СТ РК 2.599-2019 Методика определения массовой доли мышьяка в пробах почв и донных отложений методом атомно-абсорбционной спектрометрии с электротермической атомизацией;</w:t>
      </w:r>
    </w:p>
    <w:p w:rsidR="00643868" w:rsidRPr="00517AE7" w:rsidRDefault="00643868" w:rsidP="00E243EB">
      <w:pPr>
        <w:pStyle w:val="pj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lang w:eastAsia="en-US"/>
        </w:rPr>
      </w:pPr>
      <w:r w:rsidRPr="00517AE7">
        <w:rPr>
          <w:rFonts w:eastAsiaTheme="minorHAnsi"/>
          <w:lang w:eastAsia="en-US"/>
        </w:rPr>
        <w:t>СТ РК 2.624-2019 Методика выполнения измерений массовой доли кислоторастворимых форм металлов (меди, свинца, цинка, никеля, кадмия) в пробах почвы атомно-абсорбционным анализом;</w:t>
      </w:r>
    </w:p>
    <w:p w:rsidR="00643868" w:rsidRPr="00517AE7" w:rsidRDefault="00000000" w:rsidP="00E243EB">
      <w:pPr>
        <w:pStyle w:val="pj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lang w:eastAsia="en-US"/>
        </w:rPr>
      </w:pPr>
      <w:hyperlink r:id="rId7" w:tooltip="СТ РК ISO 10382-2013 " w:history="1">
        <w:r w:rsidR="00643868" w:rsidRPr="00517AE7">
          <w:rPr>
            <w:rFonts w:eastAsiaTheme="minorHAnsi"/>
            <w:lang w:eastAsia="en-US"/>
          </w:rPr>
          <w:t>СТ РК ISO 10382-2013</w:t>
        </w:r>
      </w:hyperlink>
      <w:r w:rsidR="00643868" w:rsidRPr="00517AE7">
        <w:rPr>
          <w:rFonts w:eastAsiaTheme="minorHAnsi"/>
          <w:lang w:eastAsia="en-US"/>
        </w:rPr>
        <w:t> Качество почв. Определение хлорорганических пестицидов и полихлорированных бифенилов. Газохроматографический метод с использованием электронозахватного детектора;</w:t>
      </w:r>
    </w:p>
    <w:p w:rsidR="00643868" w:rsidRPr="00517AE7" w:rsidRDefault="00643868" w:rsidP="00E243EB">
      <w:pPr>
        <w:ind w:firstLine="567"/>
        <w:rPr>
          <w:sz w:val="24"/>
          <w:szCs w:val="24"/>
        </w:rPr>
      </w:pPr>
      <w:r w:rsidRPr="00517AE7">
        <w:rPr>
          <w:sz w:val="24"/>
          <w:szCs w:val="24"/>
        </w:rPr>
        <w:t xml:space="preserve">ГОСТ 26212-2021 Почвы. Определение гидролитической кислотности по методу Каппена в модификации ЦИНАО; </w:t>
      </w:r>
    </w:p>
    <w:p w:rsidR="00643868" w:rsidRPr="00517AE7" w:rsidRDefault="00643868" w:rsidP="00E243E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  <w:r w:rsidRPr="00517AE7">
        <w:rPr>
          <w:rStyle w:val="s1"/>
          <w:bCs/>
        </w:rPr>
        <w:t>ГОСТ 26484-85 Почвы. Метод определения обменной кислотности;</w:t>
      </w:r>
      <w:r w:rsidRPr="00517AE7">
        <w:rPr>
          <w:rFonts w:eastAsiaTheme="minorHAnsi"/>
          <w:lang w:eastAsia="en-US"/>
        </w:rPr>
        <w:t xml:space="preserve"> </w:t>
      </w:r>
    </w:p>
    <w:p w:rsidR="00643868" w:rsidRPr="00517AE7" w:rsidRDefault="00643868" w:rsidP="00E243E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  <w:r w:rsidRPr="00517AE7">
        <w:rPr>
          <w:rFonts w:eastAsiaTheme="minorHAnsi"/>
          <w:lang w:eastAsia="en-US"/>
        </w:rPr>
        <w:t>ГОСТ 28168-89 Почвы. Отбор проб;</w:t>
      </w:r>
    </w:p>
    <w:p w:rsidR="00C56FD6" w:rsidRPr="00517AE7" w:rsidRDefault="00643868" w:rsidP="0034654A">
      <w:pPr>
        <w:pStyle w:val="a4"/>
        <w:shd w:val="clear" w:color="auto" w:fill="FFFFFF"/>
        <w:spacing w:before="0" w:beforeAutospacing="0" w:after="0" w:afterAutospacing="0"/>
        <w:ind w:firstLine="567"/>
        <w:jc w:val="both"/>
      </w:pPr>
      <w:r w:rsidRPr="00517AE7">
        <w:rPr>
          <w:rFonts w:eastAsiaTheme="minorHAnsi"/>
          <w:lang w:eastAsia="en-US"/>
        </w:rPr>
        <w:t>ГОСТ 29269-91 Почвы. Общие требования к проведению анализов</w:t>
      </w:r>
      <w:r w:rsidR="0034654A">
        <w:rPr>
          <w:rFonts w:eastAsiaTheme="minorHAnsi"/>
          <w:lang w:val="kk-KZ" w:eastAsia="en-US"/>
        </w:rPr>
        <w:t xml:space="preserve"> </w:t>
      </w:r>
      <w:r w:rsidR="00250CBE" w:rsidRPr="00517AE7">
        <w:t>и т.д.</w:t>
      </w:r>
    </w:p>
    <w:p w:rsidR="008F1E41" w:rsidRPr="00517AE7" w:rsidRDefault="008F1E41" w:rsidP="00E243EB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17AE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17AE7">
        <w:rPr>
          <w:b/>
          <w:sz w:val="24"/>
          <w:szCs w:val="24"/>
        </w:rPr>
        <w:t>5 Предполагаемые пользователи стандарта</w:t>
      </w:r>
    </w:p>
    <w:p w:rsidR="00C56FD6" w:rsidRPr="00517AE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17AE7">
        <w:rPr>
          <w:sz w:val="24"/>
          <w:szCs w:val="24"/>
        </w:rPr>
        <w:t xml:space="preserve"> </w:t>
      </w:r>
      <w:r w:rsidR="00E243EB" w:rsidRPr="00517AE7">
        <w:rPr>
          <w:sz w:val="24"/>
          <w:szCs w:val="24"/>
        </w:rPr>
        <w:t xml:space="preserve">бетона и </w:t>
      </w:r>
      <w:r w:rsidR="0094552A" w:rsidRPr="00517AE7">
        <w:rPr>
          <w:sz w:val="24"/>
          <w:szCs w:val="24"/>
        </w:rPr>
        <w:t>железобетонных изделий</w:t>
      </w:r>
      <w:r w:rsidRPr="00517AE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517AE7" w:rsidRDefault="00EC4F99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17AE7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517AE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17AE7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– заказчику разработки;</w:t>
      </w: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– аккредитованным ассоциациям;</w:t>
      </w:r>
    </w:p>
    <w:p w:rsidR="00B625B8" w:rsidRPr="00517AE7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lastRenderedPageBreak/>
        <w:t>– техническим комитетам</w:t>
      </w:r>
      <w:r w:rsidR="001274AC" w:rsidRPr="00517AE7">
        <w:rPr>
          <w:sz w:val="24"/>
          <w:szCs w:val="24"/>
        </w:rPr>
        <w:t xml:space="preserve"> по стандартизации;</w:t>
      </w: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– научно-исследовательским институтам;</w:t>
      </w: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17AE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– производителям</w:t>
      </w:r>
      <w:r w:rsidR="0094552A" w:rsidRPr="00517AE7">
        <w:rPr>
          <w:sz w:val="24"/>
          <w:szCs w:val="24"/>
        </w:rPr>
        <w:t xml:space="preserve"> </w:t>
      </w:r>
      <w:r w:rsidR="001274AC" w:rsidRPr="00517AE7">
        <w:rPr>
          <w:sz w:val="24"/>
          <w:szCs w:val="24"/>
        </w:rPr>
        <w:t xml:space="preserve">бетона и </w:t>
      </w:r>
      <w:r w:rsidR="0094552A" w:rsidRPr="00517AE7">
        <w:rPr>
          <w:sz w:val="24"/>
          <w:szCs w:val="24"/>
        </w:rPr>
        <w:t>железобетонных изделий</w:t>
      </w:r>
      <w:r w:rsidRPr="00517AE7">
        <w:rPr>
          <w:sz w:val="24"/>
          <w:szCs w:val="24"/>
        </w:rPr>
        <w:t>.</w:t>
      </w:r>
    </w:p>
    <w:p w:rsidR="00C56FD6" w:rsidRPr="00517AE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17AE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17AE7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17AE7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EC4F99" w:rsidRPr="00517AE7" w:rsidRDefault="00EC4F99" w:rsidP="00643868">
      <w:pPr>
        <w:pStyle w:val="2"/>
        <w:keepNext w:val="0"/>
        <w:widowControl w:val="0"/>
        <w:shd w:val="clear" w:color="auto" w:fill="FFFFFF"/>
        <w:ind w:left="0" w:firstLine="567"/>
        <w:rPr>
          <w:sz w:val="24"/>
          <w:szCs w:val="24"/>
        </w:rPr>
      </w:pPr>
      <w:r w:rsidRPr="00517AE7">
        <w:rPr>
          <w:b w:val="0"/>
          <w:sz w:val="24"/>
          <w:szCs w:val="24"/>
        </w:rPr>
        <w:t>Стандарт</w:t>
      </w:r>
      <w:r w:rsidRPr="00517AE7">
        <w:rPr>
          <w:b w:val="0"/>
          <w:sz w:val="24"/>
          <w:szCs w:val="24"/>
          <w:lang w:val="ru-RU"/>
        </w:rPr>
        <w:t xml:space="preserve"> </w:t>
      </w:r>
      <w:r w:rsidR="001274AC" w:rsidRPr="00517AE7">
        <w:rPr>
          <w:b w:val="0"/>
          <w:sz w:val="24"/>
          <w:szCs w:val="24"/>
        </w:rPr>
        <w:t>подготовлен</w:t>
      </w:r>
      <w:r w:rsidR="001274AC" w:rsidRPr="00517AE7">
        <w:rPr>
          <w:b w:val="0"/>
          <w:sz w:val="24"/>
          <w:szCs w:val="24"/>
          <w:lang w:val="ru-RU"/>
        </w:rPr>
        <w:t xml:space="preserve"> </w:t>
      </w:r>
      <w:r w:rsidRPr="00517AE7">
        <w:rPr>
          <w:b w:val="0"/>
          <w:sz w:val="24"/>
          <w:szCs w:val="24"/>
        </w:rPr>
        <w:t>н</w:t>
      </w:r>
      <w:r w:rsidR="001274AC" w:rsidRPr="00517AE7">
        <w:rPr>
          <w:b w:val="0"/>
          <w:sz w:val="24"/>
          <w:szCs w:val="24"/>
        </w:rPr>
        <w:t>а</w:t>
      </w:r>
      <w:r w:rsidR="001274AC" w:rsidRPr="00517AE7">
        <w:rPr>
          <w:b w:val="0"/>
          <w:sz w:val="24"/>
          <w:szCs w:val="24"/>
          <w:lang w:val="ru-RU"/>
        </w:rPr>
        <w:t xml:space="preserve"> </w:t>
      </w:r>
      <w:r w:rsidR="001274AC" w:rsidRPr="00517AE7">
        <w:rPr>
          <w:b w:val="0"/>
          <w:sz w:val="24"/>
          <w:szCs w:val="24"/>
        </w:rPr>
        <w:t>основе</w:t>
      </w:r>
      <w:r w:rsidR="001274AC" w:rsidRPr="00517AE7">
        <w:rPr>
          <w:sz w:val="24"/>
          <w:szCs w:val="24"/>
          <w:lang w:val="ru-RU"/>
        </w:rPr>
        <w:t xml:space="preserve"> </w:t>
      </w:r>
      <w:r w:rsidR="00643868" w:rsidRPr="00517AE7">
        <w:rPr>
          <w:b w:val="0"/>
          <w:sz w:val="24"/>
          <w:szCs w:val="24"/>
          <w:lang w:val="en-US"/>
        </w:rPr>
        <w:t>EN</w:t>
      </w:r>
      <w:r w:rsidR="00643868" w:rsidRPr="00517AE7">
        <w:rPr>
          <w:b w:val="0"/>
          <w:sz w:val="24"/>
          <w:szCs w:val="24"/>
          <w:lang w:val="ru-RU"/>
        </w:rPr>
        <w:t xml:space="preserve"> 16502-2014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Test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method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for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the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determination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of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the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degree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of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soil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acidity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according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to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Baumann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>-</w:t>
      </w:r>
      <w:r w:rsidR="00643868" w:rsidRPr="00517AE7">
        <w:rPr>
          <w:rFonts w:ascii="opensans" w:hAnsi="opensans"/>
          <w:b w:val="0"/>
          <w:bCs/>
          <w:sz w:val="24"/>
          <w:szCs w:val="24"/>
          <w:lang w:val="en-US"/>
        </w:rPr>
        <w:t>Gully</w:t>
      </w:r>
      <w:r w:rsidR="00643868" w:rsidRPr="00517AE7">
        <w:rPr>
          <w:rFonts w:ascii="opensans" w:hAnsi="opensans"/>
          <w:b w:val="0"/>
          <w:bCs/>
          <w:sz w:val="24"/>
          <w:szCs w:val="24"/>
          <w:lang w:val="ru-RU"/>
        </w:rPr>
        <w:t xml:space="preserve"> </w:t>
      </w:r>
      <w:r w:rsidR="001274AC" w:rsidRPr="00517AE7">
        <w:rPr>
          <w:sz w:val="24"/>
          <w:szCs w:val="24"/>
          <w:lang w:val="ru-RU"/>
        </w:rPr>
        <w:t>(</w:t>
      </w:r>
      <w:r w:rsidR="00643868" w:rsidRPr="00517AE7">
        <w:rPr>
          <w:b w:val="0"/>
          <w:sz w:val="24"/>
          <w:szCs w:val="24"/>
        </w:rPr>
        <w:t>Определение степени кислотности почвы методом Баумана-Галли</w:t>
      </w:r>
      <w:r w:rsidR="001274AC" w:rsidRPr="00517AE7">
        <w:rPr>
          <w:sz w:val="24"/>
          <w:szCs w:val="24"/>
        </w:rPr>
        <w:t>)</w:t>
      </w:r>
      <w:r w:rsidRPr="00517AE7">
        <w:rPr>
          <w:sz w:val="24"/>
          <w:szCs w:val="24"/>
        </w:rPr>
        <w:t>.</w:t>
      </w:r>
    </w:p>
    <w:p w:rsidR="00C56FD6" w:rsidRPr="00517AE7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17AE7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17AE7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517AE7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17AE7" w:rsidRDefault="00521858" w:rsidP="00521858">
      <w:pPr>
        <w:ind w:firstLine="709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17AE7" w:rsidRDefault="00521858" w:rsidP="00521858">
      <w:pPr>
        <w:ind w:firstLine="709"/>
        <w:jc w:val="both"/>
        <w:rPr>
          <w:sz w:val="24"/>
          <w:szCs w:val="24"/>
        </w:rPr>
      </w:pPr>
      <w:r w:rsidRPr="00517AE7">
        <w:rPr>
          <w:sz w:val="24"/>
          <w:szCs w:val="24"/>
        </w:rPr>
        <w:t xml:space="preserve">г. </w:t>
      </w:r>
      <w:r w:rsidR="00CD5F99" w:rsidRPr="00517AE7">
        <w:rPr>
          <w:sz w:val="24"/>
          <w:szCs w:val="24"/>
        </w:rPr>
        <w:t>Астана</w:t>
      </w:r>
      <w:r w:rsidRPr="00517AE7">
        <w:rPr>
          <w:sz w:val="24"/>
          <w:szCs w:val="24"/>
        </w:rPr>
        <w:t>, ул. Мәнгілік Ел, д. 11, здание «Эталонный Центр»</w:t>
      </w:r>
    </w:p>
    <w:p w:rsidR="00D725D4" w:rsidRPr="00D725D4" w:rsidRDefault="00521858" w:rsidP="00D725D4">
      <w:pPr>
        <w:ind w:firstLine="709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Эл</w:t>
      </w:r>
      <w:r w:rsidRPr="00D725D4">
        <w:rPr>
          <w:sz w:val="24"/>
          <w:szCs w:val="24"/>
        </w:rPr>
        <w:t>.</w:t>
      </w:r>
      <w:r w:rsidRPr="00517AE7">
        <w:rPr>
          <w:sz w:val="24"/>
          <w:szCs w:val="24"/>
        </w:rPr>
        <w:t>почта</w:t>
      </w:r>
      <w:r w:rsidRPr="00D725D4">
        <w:rPr>
          <w:sz w:val="24"/>
          <w:szCs w:val="24"/>
        </w:rPr>
        <w:t xml:space="preserve">: </w:t>
      </w:r>
      <w:r w:rsidR="00D725D4" w:rsidRPr="00D725D4">
        <w:rPr>
          <w:sz w:val="24"/>
          <w:szCs w:val="24"/>
          <w:lang w:val="en-US"/>
        </w:rPr>
        <w:t>ainash</w:t>
      </w:r>
      <w:r w:rsidR="00D725D4" w:rsidRPr="00D725D4">
        <w:rPr>
          <w:sz w:val="24"/>
          <w:szCs w:val="24"/>
        </w:rPr>
        <w:t>.</w:t>
      </w:r>
      <w:r w:rsidR="00D725D4" w:rsidRPr="00D725D4">
        <w:rPr>
          <w:sz w:val="24"/>
          <w:szCs w:val="24"/>
          <w:lang w:val="en-US"/>
        </w:rPr>
        <w:t>assan</w:t>
      </w:r>
      <w:r w:rsidR="00D725D4" w:rsidRPr="00D725D4">
        <w:rPr>
          <w:sz w:val="24"/>
          <w:szCs w:val="24"/>
        </w:rPr>
        <w:t>2023@</w:t>
      </w:r>
      <w:r w:rsidR="00D725D4" w:rsidRPr="00D725D4">
        <w:rPr>
          <w:sz w:val="24"/>
          <w:szCs w:val="24"/>
          <w:lang w:val="en-US"/>
        </w:rPr>
        <w:t>mail</w:t>
      </w:r>
      <w:r w:rsidR="00D725D4" w:rsidRPr="00D725D4">
        <w:rPr>
          <w:sz w:val="24"/>
          <w:szCs w:val="24"/>
        </w:rPr>
        <w:t>.</w:t>
      </w:r>
      <w:r w:rsidR="00D725D4" w:rsidRPr="00D725D4">
        <w:rPr>
          <w:sz w:val="24"/>
          <w:szCs w:val="24"/>
          <w:lang w:val="en-US"/>
        </w:rPr>
        <w:t>ru</w:t>
      </w:r>
    </w:p>
    <w:p w:rsidR="00521858" w:rsidRPr="00517AE7" w:rsidRDefault="00521858" w:rsidP="00D725D4">
      <w:pPr>
        <w:ind w:firstLine="709"/>
        <w:jc w:val="both"/>
        <w:rPr>
          <w:sz w:val="24"/>
          <w:szCs w:val="24"/>
        </w:rPr>
      </w:pPr>
      <w:r w:rsidRPr="00517AE7">
        <w:rPr>
          <w:sz w:val="24"/>
          <w:szCs w:val="24"/>
        </w:rPr>
        <w:t>Тел.:8 (7172) 98 06 3</w:t>
      </w:r>
      <w:r w:rsidR="00D725D4">
        <w:rPr>
          <w:sz w:val="24"/>
          <w:szCs w:val="24"/>
        </w:rPr>
        <w:t>4</w:t>
      </w:r>
    </w:p>
    <w:p w:rsidR="00521858" w:rsidRPr="00517AE7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Pr="00517AE7" w:rsidRDefault="001274AC" w:rsidP="00521858">
      <w:pPr>
        <w:ind w:firstLine="709"/>
        <w:jc w:val="both"/>
        <w:rPr>
          <w:sz w:val="24"/>
          <w:szCs w:val="24"/>
        </w:rPr>
      </w:pPr>
    </w:p>
    <w:p w:rsidR="001274AC" w:rsidRPr="00517AE7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17AE7" w:rsidRDefault="00521858" w:rsidP="00521858">
      <w:pPr>
        <w:ind w:firstLine="709"/>
        <w:jc w:val="both"/>
        <w:rPr>
          <w:b/>
          <w:sz w:val="24"/>
          <w:szCs w:val="24"/>
        </w:rPr>
      </w:pPr>
      <w:r w:rsidRPr="00517AE7">
        <w:rPr>
          <w:b/>
          <w:sz w:val="24"/>
          <w:szCs w:val="24"/>
        </w:rPr>
        <w:t xml:space="preserve">Заместитель </w:t>
      </w:r>
    </w:p>
    <w:p w:rsidR="00521858" w:rsidRPr="00517AE7" w:rsidRDefault="00521858" w:rsidP="00521858">
      <w:pPr>
        <w:ind w:firstLine="709"/>
        <w:jc w:val="both"/>
        <w:rPr>
          <w:sz w:val="24"/>
          <w:szCs w:val="24"/>
        </w:rPr>
      </w:pPr>
      <w:r w:rsidRPr="00517AE7">
        <w:rPr>
          <w:b/>
          <w:sz w:val="24"/>
          <w:szCs w:val="24"/>
        </w:rPr>
        <w:t>Генерального директора</w:t>
      </w:r>
      <w:r w:rsidRPr="00517AE7">
        <w:rPr>
          <w:b/>
          <w:sz w:val="24"/>
          <w:szCs w:val="24"/>
        </w:rPr>
        <w:tab/>
      </w:r>
      <w:r w:rsidRPr="00517AE7">
        <w:rPr>
          <w:b/>
          <w:sz w:val="24"/>
          <w:szCs w:val="24"/>
        </w:rPr>
        <w:tab/>
      </w:r>
      <w:r w:rsidRPr="00517AE7">
        <w:rPr>
          <w:b/>
          <w:sz w:val="24"/>
          <w:szCs w:val="24"/>
        </w:rPr>
        <w:tab/>
        <w:t xml:space="preserve">                                  </w:t>
      </w:r>
      <w:r w:rsidR="00CD5F99" w:rsidRPr="00517AE7">
        <w:rPr>
          <w:b/>
          <w:sz w:val="24"/>
          <w:szCs w:val="24"/>
        </w:rPr>
        <w:t>Амирханова Е.М</w:t>
      </w:r>
      <w:r w:rsidR="001274AC" w:rsidRPr="00517AE7">
        <w:rPr>
          <w:b/>
          <w:sz w:val="24"/>
          <w:szCs w:val="24"/>
        </w:rPr>
        <w:t>.</w:t>
      </w:r>
    </w:p>
    <w:p w:rsidR="00C56FD6" w:rsidRPr="00517AE7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17AE7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17AE7">
        <w:rPr>
          <w:b/>
          <w:sz w:val="24"/>
          <w:szCs w:val="24"/>
        </w:rPr>
        <w:t>« ___ » ______</w:t>
      </w:r>
      <w:r w:rsidRPr="00517AE7">
        <w:rPr>
          <w:b/>
          <w:sz w:val="24"/>
          <w:szCs w:val="24"/>
          <w:lang w:val="ru-RU"/>
        </w:rPr>
        <w:t>__</w:t>
      </w:r>
      <w:r w:rsidRPr="00517AE7">
        <w:rPr>
          <w:b/>
          <w:sz w:val="24"/>
          <w:szCs w:val="24"/>
        </w:rPr>
        <w:t>_____ 20</w:t>
      </w:r>
      <w:r w:rsidRPr="00517AE7">
        <w:rPr>
          <w:b/>
          <w:sz w:val="24"/>
          <w:szCs w:val="24"/>
          <w:lang w:val="ru-RU"/>
        </w:rPr>
        <w:t>2</w:t>
      </w:r>
      <w:r w:rsidR="001274AC" w:rsidRPr="00517AE7">
        <w:rPr>
          <w:b/>
          <w:sz w:val="24"/>
          <w:szCs w:val="24"/>
          <w:lang w:val="ru-RU"/>
        </w:rPr>
        <w:t>3</w:t>
      </w:r>
      <w:r w:rsidRPr="00517AE7">
        <w:rPr>
          <w:b/>
          <w:sz w:val="24"/>
          <w:szCs w:val="24"/>
        </w:rPr>
        <w:t xml:space="preserve"> года</w:t>
      </w:r>
    </w:p>
    <w:p w:rsidR="005F384E" w:rsidRPr="00517AE7" w:rsidRDefault="005F384E">
      <w:pPr>
        <w:rPr>
          <w:sz w:val="24"/>
          <w:szCs w:val="24"/>
        </w:rPr>
      </w:pPr>
    </w:p>
    <w:sectPr w:rsidR="005F384E" w:rsidRPr="00517AE7" w:rsidSect="00BF0B58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67400" w:rsidRDefault="00667400" w:rsidP="00BF0B58">
      <w:r>
        <w:separator/>
      </w:r>
    </w:p>
  </w:endnote>
  <w:endnote w:type="continuationSeparator" w:id="0">
    <w:p w:rsidR="00667400" w:rsidRDefault="00667400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">
    <w:altName w:val="Times New Roman"/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D725D4">
          <w:rPr>
            <w:noProof/>
            <w:sz w:val="24"/>
            <w:szCs w:val="24"/>
          </w:rPr>
          <w:t>2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67400" w:rsidRDefault="00667400" w:rsidP="00BF0B58">
      <w:r>
        <w:separator/>
      </w:r>
    </w:p>
  </w:footnote>
  <w:footnote w:type="continuationSeparator" w:id="0">
    <w:p w:rsidR="00667400" w:rsidRDefault="00667400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A3DD7"/>
    <w:rsid w:val="000E1C33"/>
    <w:rsid w:val="001274AC"/>
    <w:rsid w:val="00144589"/>
    <w:rsid w:val="0020160A"/>
    <w:rsid w:val="00250CBE"/>
    <w:rsid w:val="00283E6E"/>
    <w:rsid w:val="002846DA"/>
    <w:rsid w:val="00293E85"/>
    <w:rsid w:val="002A5007"/>
    <w:rsid w:val="002C2B40"/>
    <w:rsid w:val="0031533E"/>
    <w:rsid w:val="003229FA"/>
    <w:rsid w:val="003307A7"/>
    <w:rsid w:val="0034654A"/>
    <w:rsid w:val="003A1A85"/>
    <w:rsid w:val="003F4AA0"/>
    <w:rsid w:val="0044490E"/>
    <w:rsid w:val="00463B4B"/>
    <w:rsid w:val="00517AE7"/>
    <w:rsid w:val="005204D3"/>
    <w:rsid w:val="00521858"/>
    <w:rsid w:val="005749D6"/>
    <w:rsid w:val="005910C7"/>
    <w:rsid w:val="0059285E"/>
    <w:rsid w:val="005B66EC"/>
    <w:rsid w:val="005E3477"/>
    <w:rsid w:val="005F1A94"/>
    <w:rsid w:val="005F384E"/>
    <w:rsid w:val="0062486B"/>
    <w:rsid w:val="00643868"/>
    <w:rsid w:val="00667400"/>
    <w:rsid w:val="00692E8B"/>
    <w:rsid w:val="006C7589"/>
    <w:rsid w:val="007B1AE9"/>
    <w:rsid w:val="007D16A7"/>
    <w:rsid w:val="007D3D6A"/>
    <w:rsid w:val="0083036E"/>
    <w:rsid w:val="0083547E"/>
    <w:rsid w:val="008F1E41"/>
    <w:rsid w:val="0094552A"/>
    <w:rsid w:val="00A45D94"/>
    <w:rsid w:val="00AA30F1"/>
    <w:rsid w:val="00B60325"/>
    <w:rsid w:val="00B625B8"/>
    <w:rsid w:val="00BD0999"/>
    <w:rsid w:val="00BF0B58"/>
    <w:rsid w:val="00C56FD6"/>
    <w:rsid w:val="00CD13FB"/>
    <w:rsid w:val="00CD5F99"/>
    <w:rsid w:val="00D12D05"/>
    <w:rsid w:val="00D70BE1"/>
    <w:rsid w:val="00D725D4"/>
    <w:rsid w:val="00DA6D8C"/>
    <w:rsid w:val="00DE1D34"/>
    <w:rsid w:val="00E243EB"/>
    <w:rsid w:val="00E704A1"/>
    <w:rsid w:val="00E953CF"/>
    <w:rsid w:val="00EC4F99"/>
    <w:rsid w:val="00F00B60"/>
    <w:rsid w:val="00F22CE1"/>
    <w:rsid w:val="00FA0698"/>
    <w:rsid w:val="00FA1669"/>
    <w:rsid w:val="00FB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584DB"/>
  <w15:docId w15:val="{B6482FE8-A507-411F-8C08-8B7D3364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character" w:customStyle="1" w:styleId="hdn-link">
    <w:name w:val="hdn-link"/>
    <w:basedOn w:val="a0"/>
    <w:rsid w:val="002A5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online.zakon.kz/Document/?doc_id=3254753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runtovozov.ru/chasto-zadavayemiye-voprosy/primenenie-gruntov/kak-opredelit-kislotnost-pochvyi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19</cp:revision>
  <dcterms:created xsi:type="dcterms:W3CDTF">2022-05-21T10:01:00Z</dcterms:created>
  <dcterms:modified xsi:type="dcterms:W3CDTF">2023-05-25T16:27:00Z</dcterms:modified>
</cp:coreProperties>
</file>